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BE4" w:rsidRDefault="00E74BE4" w:rsidP="00E74BE4">
      <w:pPr>
        <w:spacing w:after="0" w:line="240" w:lineRule="auto"/>
        <w:jc w:val="center"/>
        <w:rPr>
          <w:rFonts w:ascii="Arial Narrow" w:hAnsi="Arial Narrow"/>
          <w:sz w:val="28"/>
          <w:szCs w:val="28"/>
        </w:rPr>
      </w:pPr>
    </w:p>
    <w:p w:rsidR="00E74BE4" w:rsidRPr="00A34B3D" w:rsidRDefault="00E74BE4" w:rsidP="00E74BE4">
      <w:pPr>
        <w:spacing w:after="0" w:line="240" w:lineRule="auto"/>
        <w:jc w:val="center"/>
        <w:rPr>
          <w:rFonts w:ascii="Arial Narrow" w:hAnsi="Arial Narrow" w:cs="Arial"/>
          <w:noProof/>
          <w:sz w:val="24"/>
          <w:szCs w:val="24"/>
        </w:rPr>
      </w:pPr>
      <w:r>
        <w:rPr>
          <w:rFonts w:ascii="Arial Narrow" w:hAnsi="Arial Narrow" w:cs="Arial"/>
          <w:noProof/>
          <w:sz w:val="24"/>
          <w:szCs w:val="24"/>
        </w:rPr>
        <w:drawing>
          <wp:inline distT="0" distB="0" distL="0" distR="0">
            <wp:extent cx="1209675" cy="9048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2180" r="-2180"/>
                    <a:stretch>
                      <a:fillRect/>
                    </a:stretch>
                  </pic:blipFill>
                  <pic:spPr bwMode="auto">
                    <a:xfrm>
                      <a:off x="0" y="0"/>
                      <a:ext cx="1209675" cy="904875"/>
                    </a:xfrm>
                    <a:prstGeom prst="rect">
                      <a:avLst/>
                    </a:prstGeom>
                    <a:noFill/>
                    <a:ln w="9525">
                      <a:noFill/>
                      <a:miter lim="800000"/>
                      <a:headEnd/>
                      <a:tailEnd/>
                    </a:ln>
                  </pic:spPr>
                </pic:pic>
              </a:graphicData>
            </a:graphic>
          </wp:inline>
        </w:drawing>
      </w:r>
    </w:p>
    <w:p w:rsidR="00E74BE4" w:rsidRPr="00A34B3D" w:rsidRDefault="00E74BE4" w:rsidP="00E74BE4">
      <w:pPr>
        <w:spacing w:after="0" w:line="240" w:lineRule="auto"/>
        <w:jc w:val="center"/>
        <w:rPr>
          <w:rFonts w:ascii="Arial Narrow" w:hAnsi="Arial Narrow" w:cs="Andalus"/>
          <w:b/>
          <w:noProof/>
          <w:sz w:val="24"/>
          <w:szCs w:val="24"/>
        </w:rPr>
      </w:pPr>
      <w:r w:rsidRPr="00A34B3D">
        <w:rPr>
          <w:rFonts w:ascii="Arial Narrow" w:hAnsi="Arial Narrow" w:cs="Andalus"/>
          <w:b/>
          <w:noProof/>
          <w:sz w:val="24"/>
          <w:szCs w:val="24"/>
        </w:rPr>
        <w:t>REPUBLIC OF KENYA</w:t>
      </w:r>
    </w:p>
    <w:p w:rsidR="00E74BE4" w:rsidRDefault="00E74BE4" w:rsidP="00E74BE4">
      <w:pPr>
        <w:spacing w:after="0" w:line="240" w:lineRule="auto"/>
        <w:jc w:val="center"/>
        <w:rPr>
          <w:rFonts w:ascii="Arial Narrow" w:hAnsi="Arial Narrow" w:cs="Andalus"/>
          <w:b/>
          <w:sz w:val="24"/>
          <w:szCs w:val="24"/>
        </w:rPr>
      </w:pPr>
      <w:r w:rsidRPr="00A34B3D">
        <w:rPr>
          <w:rFonts w:ascii="Arial Narrow" w:hAnsi="Arial Narrow" w:cs="Andalus"/>
          <w:b/>
          <w:sz w:val="24"/>
          <w:szCs w:val="24"/>
        </w:rPr>
        <w:t>MINISTRY OF   EDUCATION</w:t>
      </w:r>
    </w:p>
    <w:p w:rsidR="00187D0C" w:rsidRDefault="00187D0C" w:rsidP="00E74BE4">
      <w:pPr>
        <w:spacing w:after="0" w:line="240" w:lineRule="auto"/>
        <w:jc w:val="center"/>
        <w:rPr>
          <w:rFonts w:ascii="Arial Narrow" w:hAnsi="Arial Narrow" w:cs="Andalus"/>
          <w:b/>
          <w:sz w:val="24"/>
          <w:szCs w:val="24"/>
        </w:rPr>
      </w:pPr>
    </w:p>
    <w:p w:rsidR="00187D0C" w:rsidRPr="00187D0C" w:rsidRDefault="00187D0C" w:rsidP="00E74BE4">
      <w:pPr>
        <w:spacing w:after="0" w:line="240" w:lineRule="auto"/>
        <w:jc w:val="center"/>
        <w:rPr>
          <w:rFonts w:ascii="Arial Narrow" w:hAnsi="Arial Narrow" w:cs="Andalus"/>
          <w:b/>
          <w:sz w:val="28"/>
          <w:szCs w:val="28"/>
          <w:u w:val="single"/>
        </w:rPr>
      </w:pPr>
      <w:r w:rsidRPr="00187D0C">
        <w:rPr>
          <w:rFonts w:ascii="Arial Narrow" w:hAnsi="Arial Narrow" w:cs="Andalus"/>
          <w:b/>
          <w:sz w:val="28"/>
          <w:szCs w:val="28"/>
          <w:u w:val="single"/>
        </w:rPr>
        <w:t>Russian Federation Scholarships</w:t>
      </w:r>
    </w:p>
    <w:p w:rsidR="00E74BE4" w:rsidRPr="00A34B3D" w:rsidRDefault="00E74BE4" w:rsidP="00E74BE4">
      <w:pPr>
        <w:spacing w:line="240" w:lineRule="auto"/>
        <w:jc w:val="both"/>
        <w:rPr>
          <w:rFonts w:ascii="Arial Narrow" w:hAnsi="Arial Narrow" w:cs="Andalus"/>
          <w:sz w:val="24"/>
          <w:szCs w:val="24"/>
        </w:rPr>
      </w:pPr>
    </w:p>
    <w:p w:rsidR="00E74BE4" w:rsidRPr="00126790" w:rsidRDefault="00E74BE4" w:rsidP="00E74BE4">
      <w:pPr>
        <w:jc w:val="both"/>
        <w:rPr>
          <w:rFonts w:ascii="Arial Narrow" w:hAnsi="Arial Narrow" w:cs="Arial"/>
          <w:sz w:val="24"/>
          <w:szCs w:val="24"/>
        </w:rPr>
      </w:pPr>
      <w:r w:rsidRPr="00126790">
        <w:rPr>
          <w:rFonts w:ascii="Arial Narrow" w:hAnsi="Arial Narrow" w:cs="Arial"/>
          <w:sz w:val="24"/>
          <w:szCs w:val="24"/>
        </w:rPr>
        <w:t xml:space="preserve">The Russian Federation is offering </w:t>
      </w:r>
      <w:r w:rsidRPr="00126790">
        <w:rPr>
          <w:rFonts w:ascii="Arial Narrow" w:hAnsi="Arial Narrow" w:cs="Arial"/>
          <w:b/>
          <w:sz w:val="24"/>
          <w:szCs w:val="24"/>
        </w:rPr>
        <w:t>forty seven (47)partia</w:t>
      </w:r>
      <w:r w:rsidRPr="00126790">
        <w:rPr>
          <w:rFonts w:ascii="Arial Narrow" w:hAnsi="Arial Narrow" w:cs="Arial"/>
          <w:sz w:val="24"/>
          <w:szCs w:val="24"/>
        </w:rPr>
        <w:t xml:space="preserve">l </w:t>
      </w:r>
      <w:r w:rsidRPr="00126790">
        <w:rPr>
          <w:rFonts w:ascii="Arial Narrow" w:hAnsi="Arial Narrow" w:cs="Arial"/>
          <w:b/>
          <w:sz w:val="24"/>
          <w:szCs w:val="24"/>
        </w:rPr>
        <w:t>scholarships</w:t>
      </w:r>
      <w:r w:rsidRPr="00126790">
        <w:rPr>
          <w:rFonts w:ascii="Arial Narrow" w:hAnsi="Arial Narrow" w:cs="Arial"/>
          <w:sz w:val="24"/>
          <w:szCs w:val="24"/>
        </w:rPr>
        <w:t xml:space="preserve"> to Kenyan students at undergraduate and Postgraduate Levels.  Successful Applicants will be provided with Tuition waiver, a monthly allowance and accommodation at the University campuses on the same basis as the Russian students. Candidates should be able to cover their travel expenses, including a round –trip air ticket to Moscow, reception at the airport upon arrival and transfer to their places of study, as well as individual health insurance.</w:t>
      </w:r>
    </w:p>
    <w:p w:rsidR="00E74BE4" w:rsidRPr="00A34B3D" w:rsidRDefault="00E74BE4" w:rsidP="00E74BE4">
      <w:pPr>
        <w:spacing w:after="0" w:line="240" w:lineRule="auto"/>
        <w:jc w:val="both"/>
        <w:rPr>
          <w:rFonts w:ascii="Arial Narrow" w:hAnsi="Arial Narrow" w:cs="Andalus"/>
          <w:sz w:val="24"/>
          <w:szCs w:val="24"/>
        </w:rPr>
      </w:pPr>
      <w:r w:rsidRPr="00126790">
        <w:rPr>
          <w:rFonts w:ascii="Arial Narrow" w:hAnsi="Arial Narrow" w:cs="Arial"/>
          <w:sz w:val="24"/>
          <w:szCs w:val="24"/>
        </w:rPr>
        <w:t>The areas of study include: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2250"/>
        <w:gridCol w:w="1765"/>
        <w:gridCol w:w="799"/>
      </w:tblGrid>
      <w:tr w:rsidR="00E74BE4" w:rsidRPr="002A1445" w:rsidTr="00460B28">
        <w:tc>
          <w:tcPr>
            <w:tcW w:w="2396" w:type="pct"/>
            <w:shd w:val="clear" w:color="auto" w:fill="auto"/>
          </w:tcPr>
          <w:p w:rsidR="00E74BE4" w:rsidRPr="002A1445" w:rsidRDefault="00E74BE4" w:rsidP="00472A75">
            <w:pPr>
              <w:spacing w:after="0" w:line="240" w:lineRule="auto"/>
              <w:rPr>
                <w:rFonts w:ascii="Arial Narrow" w:hAnsi="Arial Narrow" w:cs="Andalus"/>
                <w:b/>
                <w:sz w:val="24"/>
                <w:szCs w:val="24"/>
              </w:rPr>
            </w:pPr>
            <w:r w:rsidRPr="002A1445">
              <w:rPr>
                <w:rFonts w:ascii="Arial Narrow" w:hAnsi="Arial Narrow" w:cs="Andalus"/>
                <w:b/>
                <w:sz w:val="24"/>
                <w:szCs w:val="24"/>
              </w:rPr>
              <w:t>Course</w:t>
            </w:r>
          </w:p>
        </w:tc>
        <w:tc>
          <w:tcPr>
            <w:tcW w:w="1217" w:type="pct"/>
            <w:shd w:val="clear" w:color="auto" w:fill="auto"/>
          </w:tcPr>
          <w:p w:rsidR="00E74BE4" w:rsidRPr="002A1445" w:rsidRDefault="00E74BE4" w:rsidP="00472A75">
            <w:pPr>
              <w:spacing w:after="0" w:line="240" w:lineRule="auto"/>
              <w:rPr>
                <w:rFonts w:ascii="Arial Narrow" w:hAnsi="Arial Narrow" w:cs="Andalus"/>
                <w:b/>
                <w:sz w:val="24"/>
                <w:szCs w:val="24"/>
              </w:rPr>
            </w:pPr>
            <w:r w:rsidRPr="002A1445">
              <w:rPr>
                <w:rFonts w:ascii="Arial Narrow" w:hAnsi="Arial Narrow" w:cs="Andalus"/>
                <w:b/>
                <w:sz w:val="24"/>
                <w:szCs w:val="24"/>
              </w:rPr>
              <w:t xml:space="preserve">Number of scholarships at undergraduate level </w:t>
            </w:r>
          </w:p>
        </w:tc>
        <w:tc>
          <w:tcPr>
            <w:tcW w:w="955" w:type="pct"/>
            <w:shd w:val="clear" w:color="auto" w:fill="auto"/>
          </w:tcPr>
          <w:p w:rsidR="00E74BE4" w:rsidRPr="002A1445" w:rsidRDefault="00E74BE4" w:rsidP="00472A75">
            <w:pPr>
              <w:spacing w:after="0" w:line="240" w:lineRule="auto"/>
              <w:rPr>
                <w:rFonts w:ascii="Arial Narrow" w:hAnsi="Arial Narrow" w:cs="Andalus"/>
                <w:b/>
                <w:sz w:val="24"/>
                <w:szCs w:val="24"/>
              </w:rPr>
            </w:pPr>
            <w:r w:rsidRPr="002A1445">
              <w:rPr>
                <w:rFonts w:ascii="Arial Narrow" w:hAnsi="Arial Narrow" w:cs="Andalus"/>
                <w:b/>
                <w:sz w:val="24"/>
                <w:szCs w:val="24"/>
              </w:rPr>
              <w:t>Number of scholarships at Masters  level</w:t>
            </w:r>
          </w:p>
        </w:tc>
        <w:tc>
          <w:tcPr>
            <w:tcW w:w="432" w:type="pct"/>
            <w:shd w:val="clear" w:color="auto" w:fill="auto"/>
          </w:tcPr>
          <w:p w:rsidR="00E74BE4" w:rsidRPr="002A1445" w:rsidRDefault="00E74BE4" w:rsidP="00472A75">
            <w:pPr>
              <w:spacing w:after="0" w:line="240" w:lineRule="auto"/>
              <w:rPr>
                <w:rFonts w:ascii="Arial Narrow" w:hAnsi="Arial Narrow" w:cs="Andalus"/>
                <w:b/>
                <w:sz w:val="24"/>
                <w:szCs w:val="24"/>
              </w:rPr>
            </w:pPr>
            <w:r w:rsidRPr="002A1445">
              <w:rPr>
                <w:rFonts w:ascii="Arial Narrow" w:hAnsi="Arial Narrow" w:cs="Andalus"/>
                <w:b/>
                <w:sz w:val="24"/>
                <w:szCs w:val="24"/>
              </w:rPr>
              <w:t>PhD</w:t>
            </w:r>
          </w:p>
        </w:tc>
      </w:tr>
      <w:tr w:rsidR="00E74BE4" w:rsidRPr="002A1445" w:rsidTr="00460B28">
        <w:tc>
          <w:tcPr>
            <w:tcW w:w="2396" w:type="pct"/>
            <w:shd w:val="clear" w:color="auto" w:fill="auto"/>
          </w:tcPr>
          <w:p w:rsidR="00E74BE4" w:rsidRPr="002A1445" w:rsidRDefault="00E74BE4" w:rsidP="00472A75">
            <w:pPr>
              <w:spacing w:after="0" w:line="240" w:lineRule="auto"/>
              <w:rPr>
                <w:rFonts w:ascii="Arial Narrow" w:hAnsi="Arial Narrow" w:cs="Andalus"/>
                <w:sz w:val="24"/>
                <w:szCs w:val="24"/>
              </w:rPr>
            </w:pPr>
            <w:r w:rsidRPr="002A1445">
              <w:rPr>
                <w:rFonts w:ascii="Arial Narrow" w:hAnsi="Arial Narrow" w:cs="Andalus"/>
                <w:sz w:val="24"/>
                <w:szCs w:val="24"/>
              </w:rPr>
              <w:t>Computer and IT</w:t>
            </w:r>
          </w:p>
        </w:tc>
        <w:tc>
          <w:tcPr>
            <w:tcW w:w="1217"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955"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432" w:type="pct"/>
            <w:vMerge w:val="restar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Open</w:t>
            </w:r>
          </w:p>
        </w:tc>
      </w:tr>
      <w:tr w:rsidR="00E74BE4" w:rsidRPr="002A1445" w:rsidTr="00460B28">
        <w:tc>
          <w:tcPr>
            <w:tcW w:w="2396" w:type="pct"/>
            <w:shd w:val="clear" w:color="auto" w:fill="auto"/>
          </w:tcPr>
          <w:p w:rsidR="00E74BE4" w:rsidRPr="002A1445" w:rsidRDefault="00E74BE4" w:rsidP="00472A75">
            <w:pPr>
              <w:spacing w:after="0" w:line="240" w:lineRule="auto"/>
              <w:rPr>
                <w:rFonts w:ascii="Arial Narrow" w:hAnsi="Arial Narrow" w:cs="Andalus"/>
                <w:sz w:val="24"/>
                <w:szCs w:val="24"/>
              </w:rPr>
            </w:pPr>
            <w:r w:rsidRPr="002A1445">
              <w:rPr>
                <w:rFonts w:ascii="Arial Narrow" w:hAnsi="Arial Narrow" w:cs="Andalus"/>
                <w:sz w:val="24"/>
                <w:szCs w:val="24"/>
              </w:rPr>
              <w:t>Computer Science and Computer Facilities</w:t>
            </w:r>
          </w:p>
        </w:tc>
        <w:tc>
          <w:tcPr>
            <w:tcW w:w="1217"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955"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432" w:type="pct"/>
            <w:vMerge/>
            <w:shd w:val="clear" w:color="auto" w:fill="auto"/>
          </w:tcPr>
          <w:p w:rsidR="00E74BE4" w:rsidRPr="002A1445" w:rsidRDefault="00E74BE4" w:rsidP="00472A75">
            <w:pPr>
              <w:spacing w:after="0" w:line="240" w:lineRule="auto"/>
              <w:jc w:val="center"/>
              <w:rPr>
                <w:rFonts w:ascii="Arial Narrow" w:hAnsi="Arial Narrow" w:cs="Andalus"/>
                <w:sz w:val="24"/>
                <w:szCs w:val="24"/>
              </w:rPr>
            </w:pPr>
          </w:p>
        </w:tc>
      </w:tr>
      <w:tr w:rsidR="00E74BE4" w:rsidRPr="002A1445" w:rsidTr="00460B28">
        <w:tc>
          <w:tcPr>
            <w:tcW w:w="2396" w:type="pct"/>
            <w:shd w:val="clear" w:color="auto" w:fill="auto"/>
          </w:tcPr>
          <w:p w:rsidR="00E74BE4" w:rsidRPr="002A1445" w:rsidRDefault="00E74BE4" w:rsidP="00472A75">
            <w:pPr>
              <w:spacing w:after="0" w:line="240" w:lineRule="auto"/>
              <w:rPr>
                <w:rFonts w:ascii="Arial Narrow" w:hAnsi="Arial Narrow" w:cs="Andalus"/>
                <w:sz w:val="24"/>
                <w:szCs w:val="24"/>
              </w:rPr>
            </w:pPr>
            <w:r w:rsidRPr="002A1445">
              <w:rPr>
                <w:rFonts w:ascii="Arial Narrow" w:hAnsi="Arial Narrow" w:cs="Andalus"/>
                <w:sz w:val="24"/>
                <w:szCs w:val="24"/>
              </w:rPr>
              <w:t>Electrical Power Industry &amp; Heat- Power Engineering</w:t>
            </w:r>
          </w:p>
        </w:tc>
        <w:tc>
          <w:tcPr>
            <w:tcW w:w="1217"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955"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432" w:type="pct"/>
            <w:vMerge/>
            <w:shd w:val="clear" w:color="auto" w:fill="auto"/>
          </w:tcPr>
          <w:p w:rsidR="00E74BE4" w:rsidRPr="002A1445" w:rsidRDefault="00E74BE4" w:rsidP="00472A75">
            <w:pPr>
              <w:spacing w:after="0" w:line="240" w:lineRule="auto"/>
              <w:jc w:val="center"/>
              <w:rPr>
                <w:rFonts w:ascii="Arial Narrow" w:hAnsi="Arial Narrow" w:cs="Andalus"/>
                <w:sz w:val="24"/>
                <w:szCs w:val="24"/>
              </w:rPr>
            </w:pPr>
          </w:p>
        </w:tc>
      </w:tr>
      <w:tr w:rsidR="00E74BE4" w:rsidRPr="002A1445" w:rsidTr="00460B28">
        <w:tc>
          <w:tcPr>
            <w:tcW w:w="2396" w:type="pct"/>
            <w:shd w:val="clear" w:color="auto" w:fill="auto"/>
          </w:tcPr>
          <w:p w:rsidR="00E74BE4" w:rsidRPr="002A1445" w:rsidRDefault="00E74BE4" w:rsidP="00472A75">
            <w:pPr>
              <w:spacing w:after="0" w:line="240" w:lineRule="auto"/>
              <w:rPr>
                <w:rFonts w:ascii="Arial Narrow" w:hAnsi="Arial Narrow" w:cs="Andalus"/>
                <w:sz w:val="24"/>
                <w:szCs w:val="24"/>
              </w:rPr>
            </w:pPr>
            <w:r w:rsidRPr="002A1445">
              <w:rPr>
                <w:rFonts w:ascii="Arial Narrow" w:hAnsi="Arial Narrow" w:cs="Andalus"/>
                <w:sz w:val="24"/>
                <w:szCs w:val="24"/>
              </w:rPr>
              <w:t xml:space="preserve">Applied Geology, Mining, Oil and Gas Engineering, Geodesy </w:t>
            </w:r>
          </w:p>
        </w:tc>
        <w:tc>
          <w:tcPr>
            <w:tcW w:w="1217"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955"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432" w:type="pct"/>
            <w:vMerge/>
            <w:shd w:val="clear" w:color="auto" w:fill="auto"/>
          </w:tcPr>
          <w:p w:rsidR="00E74BE4" w:rsidRPr="002A1445" w:rsidRDefault="00E74BE4" w:rsidP="00472A75">
            <w:pPr>
              <w:spacing w:after="0" w:line="240" w:lineRule="auto"/>
              <w:jc w:val="center"/>
              <w:rPr>
                <w:rFonts w:ascii="Arial Narrow" w:hAnsi="Arial Narrow" w:cs="Andalus"/>
                <w:sz w:val="24"/>
                <w:szCs w:val="24"/>
              </w:rPr>
            </w:pPr>
          </w:p>
        </w:tc>
      </w:tr>
      <w:tr w:rsidR="00E74BE4" w:rsidRPr="002A1445" w:rsidTr="00460B28">
        <w:tc>
          <w:tcPr>
            <w:tcW w:w="2396" w:type="pct"/>
            <w:shd w:val="clear" w:color="auto" w:fill="auto"/>
          </w:tcPr>
          <w:p w:rsidR="00E74BE4" w:rsidRPr="002A1445" w:rsidRDefault="00E74BE4" w:rsidP="00472A75">
            <w:pPr>
              <w:spacing w:after="0" w:line="240" w:lineRule="auto"/>
              <w:rPr>
                <w:rFonts w:ascii="Arial Narrow" w:hAnsi="Arial Narrow" w:cs="Andalus"/>
                <w:sz w:val="24"/>
                <w:szCs w:val="24"/>
              </w:rPr>
            </w:pPr>
            <w:r w:rsidRPr="002A1445">
              <w:rPr>
                <w:rFonts w:ascii="Arial Narrow" w:hAnsi="Arial Narrow" w:cs="Andalus"/>
                <w:sz w:val="24"/>
                <w:szCs w:val="24"/>
              </w:rPr>
              <w:t>Agriculture, fishing and Forestry</w:t>
            </w:r>
          </w:p>
        </w:tc>
        <w:tc>
          <w:tcPr>
            <w:tcW w:w="1217"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955"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1</w:t>
            </w:r>
          </w:p>
        </w:tc>
        <w:tc>
          <w:tcPr>
            <w:tcW w:w="432" w:type="pct"/>
            <w:vMerge/>
            <w:shd w:val="clear" w:color="auto" w:fill="auto"/>
          </w:tcPr>
          <w:p w:rsidR="00E74BE4" w:rsidRPr="002A1445" w:rsidRDefault="00E74BE4" w:rsidP="00472A75">
            <w:pPr>
              <w:spacing w:after="0" w:line="240" w:lineRule="auto"/>
              <w:jc w:val="center"/>
              <w:rPr>
                <w:rFonts w:ascii="Arial Narrow" w:hAnsi="Arial Narrow" w:cs="Andalus"/>
                <w:sz w:val="24"/>
                <w:szCs w:val="24"/>
              </w:rPr>
            </w:pPr>
          </w:p>
        </w:tc>
      </w:tr>
      <w:tr w:rsidR="00E74BE4" w:rsidRPr="002A1445" w:rsidTr="00460B28">
        <w:tc>
          <w:tcPr>
            <w:tcW w:w="2396" w:type="pct"/>
            <w:shd w:val="clear" w:color="auto" w:fill="auto"/>
          </w:tcPr>
          <w:p w:rsidR="00E74BE4" w:rsidRPr="002A1445" w:rsidRDefault="00E74BE4" w:rsidP="00472A75">
            <w:pPr>
              <w:spacing w:after="0" w:line="240" w:lineRule="auto"/>
              <w:rPr>
                <w:rFonts w:ascii="Arial Narrow" w:hAnsi="Arial Narrow" w:cs="Andalus"/>
                <w:sz w:val="24"/>
                <w:szCs w:val="24"/>
              </w:rPr>
            </w:pPr>
            <w:r w:rsidRPr="002A1445">
              <w:rPr>
                <w:rFonts w:ascii="Arial Narrow" w:hAnsi="Arial Narrow" w:cs="Andalus"/>
                <w:sz w:val="24"/>
                <w:szCs w:val="24"/>
              </w:rPr>
              <w:t>Economics and management</w:t>
            </w:r>
          </w:p>
        </w:tc>
        <w:tc>
          <w:tcPr>
            <w:tcW w:w="1217"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4</w:t>
            </w:r>
          </w:p>
        </w:tc>
        <w:tc>
          <w:tcPr>
            <w:tcW w:w="955"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432" w:type="pct"/>
            <w:vMerge/>
            <w:shd w:val="clear" w:color="auto" w:fill="auto"/>
          </w:tcPr>
          <w:p w:rsidR="00E74BE4" w:rsidRPr="002A1445" w:rsidRDefault="00E74BE4" w:rsidP="00472A75">
            <w:pPr>
              <w:spacing w:after="0" w:line="240" w:lineRule="auto"/>
              <w:jc w:val="center"/>
              <w:rPr>
                <w:rFonts w:ascii="Arial Narrow" w:hAnsi="Arial Narrow" w:cs="Andalus"/>
                <w:sz w:val="24"/>
                <w:szCs w:val="24"/>
              </w:rPr>
            </w:pPr>
          </w:p>
        </w:tc>
      </w:tr>
      <w:tr w:rsidR="00E74BE4" w:rsidRPr="002A1445" w:rsidTr="00460B28">
        <w:tc>
          <w:tcPr>
            <w:tcW w:w="2396" w:type="pct"/>
            <w:shd w:val="clear" w:color="auto" w:fill="auto"/>
          </w:tcPr>
          <w:p w:rsidR="00E74BE4" w:rsidRPr="002A1445" w:rsidRDefault="00E74BE4" w:rsidP="00472A75">
            <w:pPr>
              <w:spacing w:after="0" w:line="240" w:lineRule="auto"/>
              <w:rPr>
                <w:rFonts w:ascii="Arial Narrow" w:hAnsi="Arial Narrow" w:cs="Andalus"/>
                <w:sz w:val="24"/>
                <w:szCs w:val="24"/>
              </w:rPr>
            </w:pPr>
            <w:r w:rsidRPr="002A1445">
              <w:rPr>
                <w:rFonts w:ascii="Arial Narrow" w:hAnsi="Arial Narrow" w:cs="Andalus"/>
                <w:sz w:val="24"/>
                <w:szCs w:val="24"/>
              </w:rPr>
              <w:t>Political science</w:t>
            </w:r>
          </w:p>
        </w:tc>
        <w:tc>
          <w:tcPr>
            <w:tcW w:w="1217"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4</w:t>
            </w:r>
          </w:p>
        </w:tc>
        <w:tc>
          <w:tcPr>
            <w:tcW w:w="955"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432" w:type="pct"/>
            <w:vMerge/>
            <w:shd w:val="clear" w:color="auto" w:fill="auto"/>
          </w:tcPr>
          <w:p w:rsidR="00E74BE4" w:rsidRPr="002A1445" w:rsidRDefault="00E74BE4" w:rsidP="00472A75">
            <w:pPr>
              <w:spacing w:after="0" w:line="240" w:lineRule="auto"/>
              <w:jc w:val="center"/>
              <w:rPr>
                <w:rFonts w:ascii="Arial Narrow" w:hAnsi="Arial Narrow" w:cs="Andalus"/>
                <w:sz w:val="24"/>
                <w:szCs w:val="24"/>
              </w:rPr>
            </w:pPr>
          </w:p>
        </w:tc>
      </w:tr>
      <w:tr w:rsidR="00E74BE4" w:rsidRPr="002A1445" w:rsidTr="00460B28">
        <w:tc>
          <w:tcPr>
            <w:tcW w:w="2396" w:type="pct"/>
            <w:shd w:val="clear" w:color="auto" w:fill="auto"/>
          </w:tcPr>
          <w:p w:rsidR="00E74BE4" w:rsidRPr="002A1445" w:rsidRDefault="00E74BE4" w:rsidP="00472A75">
            <w:pPr>
              <w:spacing w:after="0" w:line="240" w:lineRule="auto"/>
              <w:rPr>
                <w:rFonts w:ascii="Arial Narrow" w:hAnsi="Arial Narrow" w:cs="Andalus"/>
                <w:sz w:val="24"/>
                <w:szCs w:val="24"/>
              </w:rPr>
            </w:pPr>
            <w:r w:rsidRPr="002A1445">
              <w:rPr>
                <w:rFonts w:ascii="Arial Narrow" w:hAnsi="Arial Narrow" w:cs="Andalus"/>
                <w:sz w:val="24"/>
                <w:szCs w:val="24"/>
              </w:rPr>
              <w:t>Jurisprudence (Law)</w:t>
            </w:r>
          </w:p>
        </w:tc>
        <w:tc>
          <w:tcPr>
            <w:tcW w:w="1217"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4</w:t>
            </w:r>
          </w:p>
        </w:tc>
        <w:tc>
          <w:tcPr>
            <w:tcW w:w="955"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432" w:type="pct"/>
            <w:vMerge/>
            <w:shd w:val="clear" w:color="auto" w:fill="auto"/>
          </w:tcPr>
          <w:p w:rsidR="00E74BE4" w:rsidRPr="002A1445" w:rsidRDefault="00E74BE4" w:rsidP="00472A75">
            <w:pPr>
              <w:spacing w:after="0" w:line="240" w:lineRule="auto"/>
              <w:jc w:val="center"/>
              <w:rPr>
                <w:rFonts w:ascii="Arial Narrow" w:hAnsi="Arial Narrow" w:cs="Andalus"/>
                <w:sz w:val="24"/>
                <w:szCs w:val="24"/>
              </w:rPr>
            </w:pPr>
          </w:p>
        </w:tc>
      </w:tr>
      <w:tr w:rsidR="00E74BE4" w:rsidRPr="002A1445" w:rsidTr="00460B28">
        <w:tc>
          <w:tcPr>
            <w:tcW w:w="2396" w:type="pct"/>
            <w:shd w:val="clear" w:color="auto" w:fill="auto"/>
          </w:tcPr>
          <w:p w:rsidR="00E74BE4" w:rsidRPr="002A1445" w:rsidRDefault="00E74BE4" w:rsidP="00472A75">
            <w:pPr>
              <w:spacing w:after="0" w:line="240" w:lineRule="auto"/>
              <w:rPr>
                <w:rFonts w:ascii="Arial Narrow" w:hAnsi="Arial Narrow" w:cs="Andalus"/>
                <w:sz w:val="24"/>
                <w:szCs w:val="24"/>
              </w:rPr>
            </w:pPr>
            <w:r w:rsidRPr="002A1445">
              <w:rPr>
                <w:rFonts w:ascii="Arial Narrow" w:hAnsi="Arial Narrow" w:cs="Andalus"/>
                <w:sz w:val="24"/>
                <w:szCs w:val="24"/>
              </w:rPr>
              <w:t>Nuclear Energy and Technologies</w:t>
            </w:r>
          </w:p>
        </w:tc>
        <w:tc>
          <w:tcPr>
            <w:tcW w:w="1217"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955"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1</w:t>
            </w:r>
          </w:p>
        </w:tc>
        <w:tc>
          <w:tcPr>
            <w:tcW w:w="432" w:type="pct"/>
            <w:vMerge/>
            <w:shd w:val="clear" w:color="auto" w:fill="auto"/>
          </w:tcPr>
          <w:p w:rsidR="00E74BE4" w:rsidRPr="002A1445" w:rsidRDefault="00E74BE4" w:rsidP="00472A75">
            <w:pPr>
              <w:spacing w:after="0" w:line="240" w:lineRule="auto"/>
              <w:jc w:val="center"/>
              <w:rPr>
                <w:rFonts w:ascii="Arial Narrow" w:hAnsi="Arial Narrow" w:cs="Andalus"/>
                <w:sz w:val="24"/>
                <w:szCs w:val="24"/>
              </w:rPr>
            </w:pPr>
          </w:p>
        </w:tc>
      </w:tr>
      <w:tr w:rsidR="00E74BE4" w:rsidRPr="002A1445" w:rsidTr="00460B28">
        <w:tc>
          <w:tcPr>
            <w:tcW w:w="2396" w:type="pct"/>
            <w:shd w:val="clear" w:color="auto" w:fill="auto"/>
          </w:tcPr>
          <w:p w:rsidR="00E74BE4" w:rsidRPr="002A1445" w:rsidRDefault="00E74BE4" w:rsidP="00472A75">
            <w:pPr>
              <w:spacing w:after="0" w:line="240" w:lineRule="auto"/>
              <w:rPr>
                <w:rFonts w:ascii="Arial Narrow" w:hAnsi="Arial Narrow" w:cs="Andalus"/>
                <w:sz w:val="24"/>
                <w:szCs w:val="24"/>
              </w:rPr>
            </w:pPr>
            <w:r w:rsidRPr="002A1445">
              <w:rPr>
                <w:rFonts w:ascii="Arial Narrow" w:hAnsi="Arial Narrow" w:cs="Andalus"/>
                <w:sz w:val="24"/>
                <w:szCs w:val="24"/>
              </w:rPr>
              <w:t>Industrial Ecology and Biotechnology</w:t>
            </w:r>
          </w:p>
        </w:tc>
        <w:tc>
          <w:tcPr>
            <w:tcW w:w="1217"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p>
        </w:tc>
        <w:tc>
          <w:tcPr>
            <w:tcW w:w="955"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432" w:type="pct"/>
            <w:vMerge/>
            <w:shd w:val="clear" w:color="auto" w:fill="auto"/>
          </w:tcPr>
          <w:p w:rsidR="00E74BE4" w:rsidRPr="002A1445" w:rsidRDefault="00E74BE4" w:rsidP="00472A75">
            <w:pPr>
              <w:spacing w:after="0" w:line="240" w:lineRule="auto"/>
              <w:jc w:val="center"/>
              <w:rPr>
                <w:rFonts w:ascii="Arial Narrow" w:hAnsi="Arial Narrow" w:cs="Andalus"/>
                <w:sz w:val="24"/>
                <w:szCs w:val="24"/>
              </w:rPr>
            </w:pPr>
          </w:p>
        </w:tc>
      </w:tr>
      <w:tr w:rsidR="00E74BE4" w:rsidRPr="002A1445" w:rsidTr="00460B28">
        <w:tc>
          <w:tcPr>
            <w:tcW w:w="2396" w:type="pct"/>
            <w:shd w:val="clear" w:color="auto" w:fill="auto"/>
          </w:tcPr>
          <w:p w:rsidR="00E74BE4" w:rsidRPr="002A1445" w:rsidRDefault="00E74BE4" w:rsidP="00472A75">
            <w:pPr>
              <w:spacing w:after="0" w:line="240" w:lineRule="auto"/>
              <w:rPr>
                <w:rFonts w:ascii="Arial Narrow" w:hAnsi="Arial Narrow" w:cs="Andalus"/>
                <w:sz w:val="24"/>
                <w:szCs w:val="24"/>
              </w:rPr>
            </w:pPr>
            <w:r w:rsidRPr="002A1445">
              <w:rPr>
                <w:rFonts w:ascii="Arial Narrow" w:hAnsi="Arial Narrow" w:cs="Andalus"/>
                <w:sz w:val="24"/>
                <w:szCs w:val="24"/>
              </w:rPr>
              <w:t>Clinical Medicine</w:t>
            </w:r>
          </w:p>
        </w:tc>
        <w:tc>
          <w:tcPr>
            <w:tcW w:w="1217"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r w:rsidRPr="002A1445">
              <w:rPr>
                <w:rFonts w:ascii="Arial Narrow" w:hAnsi="Arial Narrow" w:cs="Andalus"/>
                <w:sz w:val="24"/>
                <w:szCs w:val="24"/>
              </w:rPr>
              <w:t>2</w:t>
            </w:r>
          </w:p>
        </w:tc>
        <w:tc>
          <w:tcPr>
            <w:tcW w:w="955" w:type="pct"/>
            <w:shd w:val="clear" w:color="auto" w:fill="auto"/>
          </w:tcPr>
          <w:p w:rsidR="00E74BE4" w:rsidRPr="002A1445" w:rsidRDefault="00E74BE4" w:rsidP="00472A75">
            <w:pPr>
              <w:spacing w:after="0" w:line="240" w:lineRule="auto"/>
              <w:jc w:val="center"/>
              <w:rPr>
                <w:rFonts w:ascii="Arial Narrow" w:hAnsi="Arial Narrow" w:cs="Andalus"/>
                <w:sz w:val="24"/>
                <w:szCs w:val="24"/>
              </w:rPr>
            </w:pPr>
          </w:p>
        </w:tc>
        <w:tc>
          <w:tcPr>
            <w:tcW w:w="432" w:type="pct"/>
            <w:vMerge/>
            <w:shd w:val="clear" w:color="auto" w:fill="auto"/>
          </w:tcPr>
          <w:p w:rsidR="00E74BE4" w:rsidRPr="002A1445" w:rsidRDefault="00E74BE4" w:rsidP="00472A75">
            <w:pPr>
              <w:spacing w:after="0" w:line="240" w:lineRule="auto"/>
              <w:jc w:val="center"/>
              <w:rPr>
                <w:rFonts w:ascii="Arial Narrow" w:hAnsi="Arial Narrow" w:cs="Andalus"/>
                <w:sz w:val="24"/>
                <w:szCs w:val="24"/>
              </w:rPr>
            </w:pPr>
          </w:p>
        </w:tc>
      </w:tr>
      <w:tr w:rsidR="00E74BE4" w:rsidRPr="002A1445" w:rsidTr="00460B28">
        <w:tc>
          <w:tcPr>
            <w:tcW w:w="2396" w:type="pct"/>
            <w:shd w:val="clear" w:color="auto" w:fill="auto"/>
          </w:tcPr>
          <w:p w:rsidR="00E74BE4" w:rsidRPr="002A1445" w:rsidRDefault="00E74BE4" w:rsidP="00472A75">
            <w:pPr>
              <w:spacing w:after="0" w:line="240" w:lineRule="auto"/>
              <w:rPr>
                <w:rFonts w:ascii="Arial Narrow" w:hAnsi="Arial Narrow" w:cs="Andalus"/>
                <w:b/>
                <w:sz w:val="24"/>
                <w:szCs w:val="24"/>
              </w:rPr>
            </w:pPr>
            <w:r w:rsidRPr="002A1445">
              <w:rPr>
                <w:rFonts w:ascii="Arial Narrow" w:hAnsi="Arial Narrow" w:cs="Andalus"/>
                <w:b/>
                <w:sz w:val="24"/>
                <w:szCs w:val="24"/>
              </w:rPr>
              <w:t>Total</w:t>
            </w:r>
          </w:p>
        </w:tc>
        <w:tc>
          <w:tcPr>
            <w:tcW w:w="1217" w:type="pct"/>
            <w:shd w:val="clear" w:color="auto" w:fill="auto"/>
          </w:tcPr>
          <w:p w:rsidR="00E74BE4" w:rsidRPr="002A1445" w:rsidRDefault="00E74BE4" w:rsidP="00472A75">
            <w:pPr>
              <w:spacing w:after="0" w:line="240" w:lineRule="auto"/>
              <w:jc w:val="center"/>
              <w:rPr>
                <w:rFonts w:ascii="Arial Narrow" w:hAnsi="Arial Narrow" w:cs="Andalus"/>
                <w:b/>
                <w:sz w:val="24"/>
                <w:szCs w:val="24"/>
              </w:rPr>
            </w:pPr>
            <w:r w:rsidRPr="002A1445">
              <w:rPr>
                <w:rFonts w:ascii="Arial Narrow" w:hAnsi="Arial Narrow" w:cs="Andalus"/>
                <w:b/>
                <w:sz w:val="24"/>
                <w:szCs w:val="24"/>
              </w:rPr>
              <w:t>26</w:t>
            </w:r>
          </w:p>
        </w:tc>
        <w:tc>
          <w:tcPr>
            <w:tcW w:w="955" w:type="pct"/>
            <w:shd w:val="clear" w:color="auto" w:fill="auto"/>
          </w:tcPr>
          <w:p w:rsidR="00E74BE4" w:rsidRPr="002A1445" w:rsidRDefault="00E74BE4" w:rsidP="00472A75">
            <w:pPr>
              <w:spacing w:after="0" w:line="240" w:lineRule="auto"/>
              <w:jc w:val="center"/>
              <w:rPr>
                <w:rFonts w:ascii="Arial Narrow" w:hAnsi="Arial Narrow" w:cs="Andalus"/>
                <w:b/>
                <w:sz w:val="24"/>
                <w:szCs w:val="24"/>
              </w:rPr>
            </w:pPr>
            <w:r w:rsidRPr="002A1445">
              <w:rPr>
                <w:rFonts w:ascii="Arial Narrow" w:hAnsi="Arial Narrow" w:cs="Andalus"/>
                <w:b/>
                <w:sz w:val="24"/>
                <w:szCs w:val="24"/>
              </w:rPr>
              <w:t>18</w:t>
            </w:r>
          </w:p>
        </w:tc>
        <w:tc>
          <w:tcPr>
            <w:tcW w:w="432" w:type="pct"/>
            <w:shd w:val="clear" w:color="auto" w:fill="auto"/>
          </w:tcPr>
          <w:p w:rsidR="00E74BE4" w:rsidRPr="002A1445" w:rsidRDefault="00E74BE4" w:rsidP="00472A75">
            <w:pPr>
              <w:spacing w:after="0" w:line="240" w:lineRule="auto"/>
              <w:jc w:val="center"/>
              <w:rPr>
                <w:rFonts w:ascii="Arial Narrow" w:hAnsi="Arial Narrow" w:cs="Andalus"/>
                <w:b/>
                <w:sz w:val="24"/>
                <w:szCs w:val="24"/>
              </w:rPr>
            </w:pPr>
            <w:r w:rsidRPr="002A1445">
              <w:rPr>
                <w:rFonts w:ascii="Arial Narrow" w:hAnsi="Arial Narrow" w:cs="Andalus"/>
                <w:b/>
                <w:sz w:val="24"/>
                <w:szCs w:val="24"/>
              </w:rPr>
              <w:t>3</w:t>
            </w:r>
          </w:p>
        </w:tc>
      </w:tr>
    </w:tbl>
    <w:p w:rsidR="00E74BE4" w:rsidRDefault="00E74BE4" w:rsidP="00E74BE4">
      <w:pPr>
        <w:spacing w:line="240" w:lineRule="auto"/>
        <w:rPr>
          <w:rFonts w:ascii="Arial Narrow" w:hAnsi="Arial Narrow" w:cs="Andalus"/>
          <w:b/>
          <w:sz w:val="24"/>
          <w:szCs w:val="24"/>
        </w:rPr>
      </w:pPr>
    </w:p>
    <w:p w:rsidR="00E74BE4" w:rsidRPr="00187D0C" w:rsidRDefault="00E74BE4" w:rsidP="00187D0C">
      <w:pPr>
        <w:spacing w:line="240" w:lineRule="auto"/>
        <w:rPr>
          <w:rFonts w:ascii="Arial Narrow" w:eastAsia="Batang" w:hAnsi="Arial Narrow" w:cs="Andalus"/>
          <w:sz w:val="24"/>
          <w:szCs w:val="24"/>
        </w:rPr>
      </w:pPr>
      <w:r w:rsidRPr="00A34B3D">
        <w:rPr>
          <w:rFonts w:ascii="Arial Narrow" w:hAnsi="Arial Narrow" w:cs="Andalus"/>
          <w:b/>
          <w:sz w:val="24"/>
          <w:szCs w:val="24"/>
        </w:rPr>
        <w:t xml:space="preserve"> NB:</w:t>
      </w:r>
      <w:r w:rsidRPr="00A34B3D">
        <w:rPr>
          <w:rFonts w:ascii="Arial Narrow" w:hAnsi="Arial Narrow" w:cs="Andalus"/>
          <w:sz w:val="24"/>
          <w:szCs w:val="24"/>
        </w:rPr>
        <w:t>Tuition, accommodation and monthly stipend will be provided by the federation on the same basis as for the Russian Federation students.</w:t>
      </w:r>
      <w:r w:rsidRPr="00A34B3D">
        <w:rPr>
          <w:rFonts w:ascii="Arial Narrow" w:eastAsia="Batang" w:hAnsi="Arial Narrow" w:cs="Andalus"/>
          <w:sz w:val="24"/>
          <w:szCs w:val="24"/>
        </w:rPr>
        <w:t>There will be one (1) year of studying Russian language for the candidates who do not speak Russian language for the undergraduate</w:t>
      </w:r>
      <w:r>
        <w:rPr>
          <w:rFonts w:ascii="Arial Narrow" w:eastAsia="Batang" w:hAnsi="Arial Narrow" w:cs="Andalus"/>
          <w:sz w:val="24"/>
          <w:szCs w:val="24"/>
        </w:rPr>
        <w:t xml:space="preserve"> level of study</w:t>
      </w:r>
      <w:r w:rsidRPr="00A34B3D">
        <w:rPr>
          <w:rFonts w:ascii="Arial Narrow" w:eastAsia="Batang" w:hAnsi="Arial Narrow" w:cs="Andalus"/>
          <w:sz w:val="24"/>
          <w:szCs w:val="24"/>
        </w:rPr>
        <w:t>.</w:t>
      </w:r>
    </w:p>
    <w:p w:rsidR="00E74BE4" w:rsidRPr="00A34B3D" w:rsidRDefault="00E74BE4" w:rsidP="00E74BE4">
      <w:pPr>
        <w:spacing w:after="0" w:line="240" w:lineRule="auto"/>
        <w:jc w:val="both"/>
        <w:rPr>
          <w:rFonts w:ascii="Arial Narrow" w:eastAsia="Batang" w:hAnsi="Arial Narrow" w:cs="Andalus"/>
          <w:b/>
          <w:sz w:val="24"/>
          <w:szCs w:val="24"/>
        </w:rPr>
      </w:pPr>
      <w:r w:rsidRPr="00A34B3D">
        <w:rPr>
          <w:rFonts w:ascii="Arial Narrow" w:eastAsia="Batang" w:hAnsi="Arial Narrow" w:cs="Andalus"/>
          <w:b/>
          <w:sz w:val="24"/>
          <w:szCs w:val="24"/>
        </w:rPr>
        <w:t>ELIGIBILITY</w:t>
      </w:r>
    </w:p>
    <w:p w:rsidR="00E74BE4" w:rsidRPr="00A34B3D" w:rsidRDefault="00E74BE4" w:rsidP="00E74BE4">
      <w:pPr>
        <w:spacing w:after="0" w:line="240" w:lineRule="auto"/>
        <w:jc w:val="both"/>
        <w:rPr>
          <w:rFonts w:ascii="Arial Narrow" w:hAnsi="Arial Narrow" w:cs="Andalus"/>
          <w:sz w:val="24"/>
          <w:szCs w:val="24"/>
        </w:rPr>
      </w:pPr>
      <w:r w:rsidRPr="00A34B3D">
        <w:rPr>
          <w:rFonts w:ascii="Arial Narrow" w:hAnsi="Arial Narrow" w:cs="Andalus"/>
          <w:sz w:val="24"/>
          <w:szCs w:val="24"/>
        </w:rPr>
        <w:t>Applicants should meet the following conditions:</w:t>
      </w:r>
    </w:p>
    <w:p w:rsidR="00E74BE4" w:rsidRPr="00A34B3D" w:rsidRDefault="00E74BE4" w:rsidP="00E74BE4">
      <w:pPr>
        <w:pStyle w:val="ListParagraph"/>
        <w:numPr>
          <w:ilvl w:val="0"/>
          <w:numId w:val="4"/>
        </w:numPr>
        <w:spacing w:after="0" w:line="240" w:lineRule="auto"/>
        <w:jc w:val="both"/>
        <w:rPr>
          <w:rFonts w:ascii="Arial Narrow" w:hAnsi="Arial Narrow" w:cs="Andalus"/>
          <w:b/>
          <w:sz w:val="24"/>
          <w:szCs w:val="24"/>
        </w:rPr>
      </w:pPr>
      <w:r w:rsidRPr="00A34B3D">
        <w:rPr>
          <w:rFonts w:ascii="Arial Narrow" w:hAnsi="Arial Narrow" w:cs="Andalus"/>
          <w:b/>
          <w:sz w:val="24"/>
          <w:szCs w:val="24"/>
        </w:rPr>
        <w:t>UNDERGRADUATE</w:t>
      </w:r>
    </w:p>
    <w:p w:rsidR="00E74BE4" w:rsidRPr="00A34B3D" w:rsidRDefault="00E74BE4" w:rsidP="00E74BE4">
      <w:pPr>
        <w:pStyle w:val="ListParagraph"/>
        <w:spacing w:after="0" w:line="240" w:lineRule="auto"/>
        <w:jc w:val="both"/>
        <w:rPr>
          <w:rFonts w:ascii="Arial Narrow" w:hAnsi="Arial Narrow" w:cs="Andalus"/>
          <w:b/>
          <w:sz w:val="24"/>
          <w:szCs w:val="24"/>
        </w:rPr>
      </w:pPr>
    </w:p>
    <w:p w:rsidR="00E74BE4" w:rsidRPr="00A34B3D" w:rsidRDefault="00E74BE4" w:rsidP="00E74BE4">
      <w:pPr>
        <w:pStyle w:val="ListParagraph"/>
        <w:numPr>
          <w:ilvl w:val="0"/>
          <w:numId w:val="3"/>
        </w:numPr>
        <w:spacing w:after="0" w:line="240" w:lineRule="auto"/>
        <w:jc w:val="both"/>
        <w:rPr>
          <w:rFonts w:ascii="Arial Narrow" w:hAnsi="Arial Narrow" w:cs="Andalus"/>
          <w:sz w:val="24"/>
          <w:szCs w:val="24"/>
        </w:rPr>
      </w:pPr>
      <w:r w:rsidRPr="00A34B3D">
        <w:rPr>
          <w:rFonts w:ascii="Arial Narrow" w:hAnsi="Arial Narrow" w:cs="Andalus"/>
          <w:sz w:val="24"/>
          <w:szCs w:val="24"/>
        </w:rPr>
        <w:t>Minimum KCSE Mean Grade of B (plain)</w:t>
      </w:r>
    </w:p>
    <w:p w:rsidR="00E74BE4" w:rsidRPr="00A34B3D" w:rsidRDefault="00E74BE4" w:rsidP="00E74BE4">
      <w:pPr>
        <w:pStyle w:val="ListParagraph"/>
        <w:numPr>
          <w:ilvl w:val="0"/>
          <w:numId w:val="3"/>
        </w:numPr>
        <w:spacing w:after="0" w:line="240" w:lineRule="auto"/>
        <w:jc w:val="both"/>
        <w:rPr>
          <w:rFonts w:ascii="Arial Narrow" w:hAnsi="Arial Narrow" w:cs="Andalus"/>
          <w:sz w:val="24"/>
          <w:szCs w:val="24"/>
        </w:rPr>
      </w:pPr>
      <w:r w:rsidRPr="00A34B3D">
        <w:rPr>
          <w:rFonts w:ascii="Arial Narrow" w:hAnsi="Arial Narrow" w:cs="Andalus"/>
          <w:sz w:val="24"/>
          <w:szCs w:val="24"/>
        </w:rPr>
        <w:t>Not more than 23 years of age</w:t>
      </w:r>
    </w:p>
    <w:p w:rsidR="00E74BE4" w:rsidRPr="00A34B3D" w:rsidRDefault="00E74BE4" w:rsidP="00E74BE4">
      <w:pPr>
        <w:pStyle w:val="ListParagraph"/>
        <w:numPr>
          <w:ilvl w:val="0"/>
          <w:numId w:val="3"/>
        </w:numPr>
        <w:spacing w:after="0" w:line="240" w:lineRule="auto"/>
        <w:jc w:val="both"/>
        <w:rPr>
          <w:rFonts w:ascii="Arial Narrow" w:hAnsi="Arial Narrow" w:cs="Andalus"/>
          <w:sz w:val="24"/>
          <w:szCs w:val="24"/>
        </w:rPr>
      </w:pPr>
      <w:r w:rsidRPr="00A34B3D">
        <w:rPr>
          <w:rFonts w:ascii="Arial Narrow" w:hAnsi="Arial Narrow" w:cs="Andalus"/>
          <w:sz w:val="24"/>
          <w:szCs w:val="24"/>
        </w:rPr>
        <w:lastRenderedPageBreak/>
        <w:t>Strong grades on the major subjects that are key to the specialty preferred</w:t>
      </w:r>
    </w:p>
    <w:p w:rsidR="00E74BE4" w:rsidRPr="00A34B3D" w:rsidRDefault="00E74BE4" w:rsidP="00E74BE4">
      <w:pPr>
        <w:pStyle w:val="ListParagraph"/>
        <w:numPr>
          <w:ilvl w:val="0"/>
          <w:numId w:val="3"/>
        </w:numPr>
        <w:spacing w:after="0" w:line="240" w:lineRule="auto"/>
        <w:jc w:val="both"/>
        <w:rPr>
          <w:rFonts w:ascii="Arial Narrow" w:hAnsi="Arial Narrow" w:cs="Andalus"/>
          <w:sz w:val="24"/>
          <w:szCs w:val="24"/>
        </w:rPr>
      </w:pPr>
      <w:r w:rsidRPr="00A34B3D">
        <w:rPr>
          <w:rFonts w:ascii="Arial Narrow" w:hAnsi="Arial Narrow" w:cs="Andalus"/>
          <w:sz w:val="24"/>
          <w:szCs w:val="24"/>
        </w:rPr>
        <w:t>Completed Secondary Education in the last three (3) years</w:t>
      </w:r>
    </w:p>
    <w:p w:rsidR="00E74BE4" w:rsidRPr="00A34B3D" w:rsidRDefault="00E74BE4" w:rsidP="00E74BE4">
      <w:pPr>
        <w:pStyle w:val="ListParagraph"/>
        <w:numPr>
          <w:ilvl w:val="0"/>
          <w:numId w:val="3"/>
        </w:numPr>
        <w:spacing w:after="0" w:line="240" w:lineRule="auto"/>
        <w:jc w:val="both"/>
        <w:rPr>
          <w:rFonts w:ascii="Arial Narrow" w:hAnsi="Arial Narrow" w:cs="Andalus"/>
          <w:sz w:val="24"/>
          <w:szCs w:val="24"/>
        </w:rPr>
      </w:pPr>
      <w:r w:rsidRPr="00A34B3D">
        <w:rPr>
          <w:rFonts w:ascii="Arial Narrow" w:hAnsi="Arial Narrow" w:cs="Andalus"/>
          <w:sz w:val="24"/>
          <w:szCs w:val="24"/>
        </w:rPr>
        <w:t>Have an original KCSE Certificate</w:t>
      </w:r>
    </w:p>
    <w:p w:rsidR="00E74BE4" w:rsidRPr="00A34B3D" w:rsidRDefault="00E74BE4" w:rsidP="00E74BE4">
      <w:pPr>
        <w:pStyle w:val="ListParagraph"/>
        <w:spacing w:after="0" w:line="240" w:lineRule="auto"/>
        <w:jc w:val="both"/>
        <w:rPr>
          <w:rFonts w:ascii="Arial Narrow" w:hAnsi="Arial Narrow" w:cs="Andalus"/>
          <w:sz w:val="24"/>
          <w:szCs w:val="24"/>
        </w:rPr>
      </w:pPr>
    </w:p>
    <w:p w:rsidR="00E74BE4" w:rsidRPr="00A34B3D" w:rsidRDefault="00E74BE4" w:rsidP="00E74BE4">
      <w:pPr>
        <w:pStyle w:val="ListParagraph"/>
        <w:numPr>
          <w:ilvl w:val="0"/>
          <w:numId w:val="4"/>
        </w:numPr>
        <w:spacing w:after="0" w:line="240" w:lineRule="auto"/>
        <w:jc w:val="both"/>
        <w:rPr>
          <w:rFonts w:ascii="Arial Narrow" w:hAnsi="Arial Narrow" w:cs="Andalus"/>
          <w:b/>
          <w:sz w:val="24"/>
          <w:szCs w:val="24"/>
        </w:rPr>
      </w:pPr>
      <w:r w:rsidRPr="00A34B3D">
        <w:rPr>
          <w:rFonts w:ascii="Arial Narrow" w:hAnsi="Arial Narrow" w:cs="Andalus"/>
          <w:b/>
          <w:sz w:val="24"/>
          <w:szCs w:val="24"/>
        </w:rPr>
        <w:t>POST GRADUATE / MASTERS</w:t>
      </w:r>
    </w:p>
    <w:p w:rsidR="00E74BE4" w:rsidRPr="00A34B3D" w:rsidRDefault="00E74BE4" w:rsidP="00E74BE4">
      <w:pPr>
        <w:pStyle w:val="ListParagraph"/>
        <w:spacing w:after="0" w:line="240" w:lineRule="auto"/>
        <w:jc w:val="both"/>
        <w:rPr>
          <w:rFonts w:ascii="Arial Narrow" w:hAnsi="Arial Narrow" w:cs="Andalus"/>
          <w:b/>
          <w:sz w:val="24"/>
          <w:szCs w:val="24"/>
        </w:rPr>
      </w:pPr>
    </w:p>
    <w:p w:rsidR="00E74BE4" w:rsidRPr="00A34B3D" w:rsidRDefault="00E74BE4" w:rsidP="00E74BE4">
      <w:pPr>
        <w:numPr>
          <w:ilvl w:val="0"/>
          <w:numId w:val="2"/>
        </w:numPr>
        <w:spacing w:after="0" w:line="240" w:lineRule="auto"/>
        <w:jc w:val="both"/>
        <w:rPr>
          <w:rFonts w:ascii="Arial Narrow" w:hAnsi="Arial Narrow" w:cs="Andalus"/>
          <w:sz w:val="24"/>
          <w:szCs w:val="24"/>
        </w:rPr>
      </w:pPr>
      <w:r w:rsidRPr="00A34B3D">
        <w:rPr>
          <w:rFonts w:ascii="Arial Narrow" w:hAnsi="Arial Narrow" w:cs="Andalus"/>
          <w:sz w:val="24"/>
          <w:szCs w:val="24"/>
        </w:rPr>
        <w:t>Are serving the country in the public sector.</w:t>
      </w:r>
    </w:p>
    <w:p w:rsidR="00E74BE4" w:rsidRPr="00A34B3D" w:rsidRDefault="00E74BE4" w:rsidP="00E74BE4">
      <w:pPr>
        <w:numPr>
          <w:ilvl w:val="0"/>
          <w:numId w:val="2"/>
        </w:numPr>
        <w:spacing w:after="0" w:line="240" w:lineRule="auto"/>
        <w:jc w:val="both"/>
        <w:rPr>
          <w:rFonts w:ascii="Arial Narrow" w:hAnsi="Arial Narrow" w:cs="Andalus"/>
          <w:sz w:val="24"/>
          <w:szCs w:val="24"/>
        </w:rPr>
      </w:pPr>
      <w:r w:rsidRPr="00A34B3D">
        <w:rPr>
          <w:rFonts w:ascii="Arial Narrow" w:hAnsi="Arial Narrow" w:cs="Andalus"/>
          <w:sz w:val="24"/>
          <w:szCs w:val="24"/>
        </w:rPr>
        <w:t>Completed two (2) years of continuous public service since their last degree studies.</w:t>
      </w:r>
    </w:p>
    <w:p w:rsidR="00E74BE4" w:rsidRPr="00A34B3D" w:rsidRDefault="00E74BE4" w:rsidP="00E74BE4">
      <w:pPr>
        <w:numPr>
          <w:ilvl w:val="0"/>
          <w:numId w:val="2"/>
        </w:numPr>
        <w:spacing w:after="0" w:line="240" w:lineRule="auto"/>
        <w:jc w:val="both"/>
        <w:rPr>
          <w:rFonts w:ascii="Arial Narrow" w:hAnsi="Arial Narrow" w:cs="Andalus"/>
          <w:sz w:val="24"/>
          <w:szCs w:val="24"/>
        </w:rPr>
      </w:pPr>
      <w:r w:rsidRPr="00A34B3D">
        <w:rPr>
          <w:rFonts w:ascii="Arial Narrow" w:hAnsi="Arial Narrow" w:cs="Andalus"/>
          <w:sz w:val="24"/>
          <w:szCs w:val="24"/>
        </w:rPr>
        <w:t xml:space="preserve"> Graduated with a Bachelor’s degree of at least Upper Second class honours level for Masters and a good Masters for PhD.</w:t>
      </w:r>
    </w:p>
    <w:p w:rsidR="00E74BE4" w:rsidRPr="00A34B3D" w:rsidRDefault="00E74BE4" w:rsidP="00E74BE4">
      <w:pPr>
        <w:numPr>
          <w:ilvl w:val="0"/>
          <w:numId w:val="2"/>
        </w:numPr>
        <w:spacing w:after="0" w:line="240" w:lineRule="auto"/>
        <w:jc w:val="both"/>
        <w:rPr>
          <w:rFonts w:ascii="Arial Narrow" w:hAnsi="Arial Narrow" w:cs="Andalus"/>
          <w:sz w:val="24"/>
          <w:szCs w:val="24"/>
        </w:rPr>
      </w:pPr>
      <w:r w:rsidRPr="00A34B3D">
        <w:rPr>
          <w:rFonts w:ascii="Arial Narrow" w:hAnsi="Arial Narrow" w:cs="Andalus"/>
          <w:sz w:val="24"/>
          <w:szCs w:val="24"/>
        </w:rPr>
        <w:t xml:space="preserve">Are below </w:t>
      </w:r>
      <w:r w:rsidRPr="00A34B3D">
        <w:rPr>
          <w:rFonts w:ascii="Arial Narrow" w:hAnsi="Arial Narrow" w:cs="Andalus"/>
          <w:b/>
          <w:sz w:val="24"/>
          <w:szCs w:val="24"/>
        </w:rPr>
        <w:t>35</w:t>
      </w:r>
      <w:r>
        <w:rPr>
          <w:rFonts w:ascii="Arial Narrow" w:hAnsi="Arial Narrow" w:cs="Andalus"/>
          <w:b/>
          <w:sz w:val="24"/>
          <w:szCs w:val="24"/>
        </w:rPr>
        <w:t xml:space="preserve"> and 45 years respectively. </w:t>
      </w:r>
    </w:p>
    <w:p w:rsidR="00E74BE4" w:rsidRPr="00A34B3D" w:rsidRDefault="00E74BE4" w:rsidP="00E74BE4">
      <w:pPr>
        <w:spacing w:after="0" w:line="240" w:lineRule="auto"/>
        <w:jc w:val="both"/>
        <w:rPr>
          <w:rFonts w:ascii="Arial Narrow" w:hAnsi="Arial Narrow" w:cs="Andalus"/>
          <w:sz w:val="24"/>
          <w:szCs w:val="24"/>
        </w:rPr>
      </w:pPr>
    </w:p>
    <w:p w:rsidR="00E74BE4" w:rsidRPr="00380ADF" w:rsidRDefault="00E74BE4" w:rsidP="00E74BE4">
      <w:pPr>
        <w:spacing w:after="0" w:line="240" w:lineRule="auto"/>
        <w:jc w:val="both"/>
        <w:rPr>
          <w:rFonts w:ascii="Arial Narrow" w:hAnsi="Arial Narrow" w:cs="Andalus"/>
          <w:b/>
          <w:sz w:val="24"/>
          <w:szCs w:val="24"/>
        </w:rPr>
      </w:pPr>
      <w:r w:rsidRPr="00380ADF">
        <w:rPr>
          <w:rFonts w:ascii="Arial Narrow" w:hAnsi="Arial Narrow" w:cs="Andalus"/>
          <w:b/>
          <w:sz w:val="24"/>
          <w:szCs w:val="24"/>
        </w:rPr>
        <w:t xml:space="preserve">All applicants are asked to register at </w:t>
      </w:r>
      <w:hyperlink r:id="rId6" w:history="1">
        <w:r w:rsidRPr="00380ADF">
          <w:rPr>
            <w:rStyle w:val="Hyperlink"/>
            <w:rFonts w:ascii="Arial Narrow" w:hAnsi="Arial Narrow" w:cs="Andalus"/>
            <w:b/>
            <w:sz w:val="24"/>
            <w:szCs w:val="24"/>
          </w:rPr>
          <w:t>http://russia.study/en</w:t>
        </w:r>
      </w:hyperlink>
      <w:r w:rsidRPr="00380ADF">
        <w:rPr>
          <w:rFonts w:ascii="Arial Narrow" w:hAnsi="Arial Narrow" w:cs="Andalus"/>
          <w:b/>
          <w:sz w:val="24"/>
          <w:szCs w:val="24"/>
        </w:rPr>
        <w:t xml:space="preserve">  and to fill-in the obligatory online version of their application forms with a photograph.</w:t>
      </w:r>
    </w:p>
    <w:p w:rsidR="00E74BE4" w:rsidRPr="00A34B3D" w:rsidRDefault="00E74BE4" w:rsidP="00E74BE4">
      <w:pPr>
        <w:spacing w:after="0" w:line="240" w:lineRule="auto"/>
        <w:jc w:val="both"/>
        <w:rPr>
          <w:rFonts w:ascii="Arial Narrow" w:hAnsi="Arial Narrow" w:cs="Andalus"/>
          <w:sz w:val="24"/>
          <w:szCs w:val="24"/>
        </w:rPr>
      </w:pPr>
    </w:p>
    <w:p w:rsidR="00E74BE4" w:rsidRPr="00A34B3D" w:rsidRDefault="00E74BE4" w:rsidP="00E74BE4">
      <w:pPr>
        <w:spacing w:after="0" w:line="240" w:lineRule="auto"/>
        <w:jc w:val="both"/>
        <w:rPr>
          <w:rFonts w:ascii="Arial Narrow" w:eastAsia="Batang" w:hAnsi="Arial Narrow" w:cs="Andalus"/>
          <w:b/>
          <w:sz w:val="24"/>
          <w:szCs w:val="24"/>
        </w:rPr>
      </w:pPr>
      <w:r w:rsidRPr="00A34B3D">
        <w:rPr>
          <w:rFonts w:ascii="Arial Narrow" w:eastAsia="Batang" w:hAnsi="Arial Narrow" w:cs="Andalus"/>
          <w:b/>
          <w:sz w:val="24"/>
          <w:szCs w:val="24"/>
        </w:rPr>
        <w:t>APPLICATION PROCEDURE</w:t>
      </w:r>
    </w:p>
    <w:p w:rsidR="00E74BE4" w:rsidRPr="00A34B3D" w:rsidRDefault="00E74BE4" w:rsidP="00E74BE4">
      <w:pPr>
        <w:spacing w:after="0" w:line="240" w:lineRule="auto"/>
        <w:jc w:val="both"/>
        <w:rPr>
          <w:rFonts w:ascii="Arial Narrow" w:eastAsia="Batang" w:hAnsi="Arial Narrow" w:cs="Andalus"/>
          <w:sz w:val="24"/>
          <w:szCs w:val="24"/>
        </w:rPr>
      </w:pPr>
      <w:r w:rsidRPr="00A34B3D">
        <w:rPr>
          <w:rFonts w:ascii="Arial Narrow" w:eastAsia="Batang" w:hAnsi="Arial Narrow" w:cs="Andalus"/>
          <w:sz w:val="24"/>
          <w:szCs w:val="24"/>
        </w:rPr>
        <w:t>All eligible candidates must read and follow the following guidelines strictly</w:t>
      </w:r>
    </w:p>
    <w:p w:rsidR="00E74BE4" w:rsidRDefault="00E74BE4" w:rsidP="00E74BE4">
      <w:pPr>
        <w:pStyle w:val="ListParagraph"/>
        <w:numPr>
          <w:ilvl w:val="0"/>
          <w:numId w:val="1"/>
        </w:numPr>
        <w:spacing w:after="0" w:line="240" w:lineRule="auto"/>
        <w:jc w:val="both"/>
        <w:rPr>
          <w:rFonts w:ascii="Arial Narrow" w:eastAsia="Batang" w:hAnsi="Arial Narrow" w:cs="Andalus"/>
          <w:sz w:val="24"/>
          <w:szCs w:val="24"/>
        </w:rPr>
      </w:pPr>
      <w:r w:rsidRPr="00380ADF">
        <w:rPr>
          <w:rFonts w:ascii="Arial Narrow" w:hAnsi="Arial Narrow" w:cs="Andalus"/>
          <w:b/>
          <w:sz w:val="24"/>
          <w:szCs w:val="24"/>
        </w:rPr>
        <w:t xml:space="preserve">All applicants are asked to register at </w:t>
      </w:r>
      <w:hyperlink r:id="rId7" w:history="1">
        <w:r w:rsidRPr="00380ADF">
          <w:rPr>
            <w:rStyle w:val="Hyperlink"/>
            <w:rFonts w:ascii="Arial Narrow" w:hAnsi="Arial Narrow" w:cs="Andalus"/>
            <w:b/>
            <w:sz w:val="24"/>
            <w:szCs w:val="24"/>
          </w:rPr>
          <w:t>http://russia.study/en</w:t>
        </w:r>
      </w:hyperlink>
      <w:r w:rsidRPr="00380ADF">
        <w:rPr>
          <w:rFonts w:ascii="Arial Narrow" w:hAnsi="Arial Narrow" w:cs="Andalus"/>
          <w:b/>
          <w:sz w:val="24"/>
          <w:szCs w:val="24"/>
        </w:rPr>
        <w:t xml:space="preserve">  and to fill-in the obligatory online version of their application forms with a photograph</w:t>
      </w:r>
    </w:p>
    <w:p w:rsidR="00E74BE4" w:rsidRPr="00A34B3D" w:rsidRDefault="00E74BE4" w:rsidP="00E74BE4">
      <w:pPr>
        <w:pStyle w:val="ListParagraph"/>
        <w:numPr>
          <w:ilvl w:val="0"/>
          <w:numId w:val="1"/>
        </w:numPr>
        <w:spacing w:after="0" w:line="240" w:lineRule="auto"/>
        <w:jc w:val="both"/>
        <w:rPr>
          <w:rFonts w:ascii="Arial Narrow" w:eastAsia="Batang" w:hAnsi="Arial Narrow" w:cs="Andalus"/>
          <w:sz w:val="24"/>
          <w:szCs w:val="24"/>
        </w:rPr>
      </w:pPr>
      <w:r w:rsidRPr="00A34B3D">
        <w:rPr>
          <w:rFonts w:ascii="Arial Narrow" w:eastAsia="Batang" w:hAnsi="Arial Narrow" w:cs="Andalus"/>
          <w:sz w:val="24"/>
          <w:szCs w:val="24"/>
        </w:rPr>
        <w:t>Obtain preliminary application forms from the Ministry of Higher Education, Science and Technology offices at Telposta Towers, 27</w:t>
      </w:r>
      <w:r w:rsidRPr="00A34B3D">
        <w:rPr>
          <w:rFonts w:ascii="Arial Narrow" w:eastAsia="Batang" w:hAnsi="Arial Narrow" w:cs="Andalus"/>
          <w:sz w:val="24"/>
          <w:szCs w:val="24"/>
          <w:vertAlign w:val="superscript"/>
        </w:rPr>
        <w:t>th</w:t>
      </w:r>
      <w:r w:rsidRPr="00A34B3D">
        <w:rPr>
          <w:rFonts w:ascii="Arial Narrow" w:eastAsia="Batang" w:hAnsi="Arial Narrow" w:cs="Andalus"/>
          <w:sz w:val="24"/>
          <w:szCs w:val="24"/>
        </w:rPr>
        <w:t xml:space="preserve"> floor room </w:t>
      </w:r>
      <w:r w:rsidRPr="00A34B3D">
        <w:rPr>
          <w:rFonts w:ascii="Arial Narrow" w:eastAsia="Batang" w:hAnsi="Arial Narrow" w:cs="Andalus"/>
          <w:b/>
          <w:sz w:val="24"/>
          <w:szCs w:val="24"/>
        </w:rPr>
        <w:t>2702</w:t>
      </w:r>
      <w:r w:rsidRPr="00A34B3D">
        <w:rPr>
          <w:rFonts w:ascii="Arial Narrow" w:eastAsia="Batang" w:hAnsi="Arial Narrow" w:cs="Andalus"/>
          <w:sz w:val="24"/>
          <w:szCs w:val="24"/>
        </w:rPr>
        <w:t xml:space="preserve">.  The application forms can also be downloaded  from the Ministry’s website: </w:t>
      </w:r>
      <w:hyperlink r:id="rId8" w:history="1">
        <w:r w:rsidRPr="00A34B3D">
          <w:rPr>
            <w:rStyle w:val="Hyperlink"/>
            <w:rFonts w:ascii="Arial Narrow" w:hAnsi="Arial Narrow" w:cs="Andalus"/>
            <w:sz w:val="24"/>
            <w:szCs w:val="24"/>
          </w:rPr>
          <w:t>www.education.go.ke</w:t>
        </w:r>
      </w:hyperlink>
      <w:r w:rsidRPr="00A34B3D">
        <w:rPr>
          <w:rFonts w:ascii="Arial Narrow" w:eastAsia="Batang" w:hAnsi="Arial Narrow" w:cs="Andalus"/>
          <w:sz w:val="24"/>
          <w:szCs w:val="24"/>
        </w:rPr>
        <w:t xml:space="preserve">  ( scholarship form)</w:t>
      </w:r>
    </w:p>
    <w:p w:rsidR="00E74BE4" w:rsidRPr="00A34B3D" w:rsidRDefault="00E74BE4" w:rsidP="00E74BE4">
      <w:pPr>
        <w:pStyle w:val="ListParagraph"/>
        <w:numPr>
          <w:ilvl w:val="0"/>
          <w:numId w:val="1"/>
        </w:numPr>
        <w:spacing w:after="0" w:line="240" w:lineRule="auto"/>
        <w:jc w:val="both"/>
        <w:rPr>
          <w:rFonts w:ascii="Arial Narrow" w:eastAsia="Batang" w:hAnsi="Arial Narrow" w:cs="Andalus"/>
          <w:sz w:val="24"/>
          <w:szCs w:val="24"/>
        </w:rPr>
      </w:pPr>
      <w:r w:rsidRPr="00A34B3D">
        <w:rPr>
          <w:rFonts w:ascii="Arial Narrow" w:eastAsia="Batang" w:hAnsi="Arial Narrow" w:cs="Andalus"/>
          <w:sz w:val="24"/>
          <w:szCs w:val="24"/>
        </w:rPr>
        <w:t xml:space="preserve">Completed application forms with attached </w:t>
      </w:r>
      <w:r w:rsidRPr="00A34B3D">
        <w:rPr>
          <w:rFonts w:ascii="Arial Narrow" w:eastAsia="Batang" w:hAnsi="Arial Narrow" w:cs="Andalus"/>
          <w:b/>
          <w:sz w:val="24"/>
          <w:szCs w:val="24"/>
        </w:rPr>
        <w:t>certified</w:t>
      </w:r>
      <w:r w:rsidRPr="00A34B3D">
        <w:rPr>
          <w:rFonts w:ascii="Arial Narrow" w:eastAsia="Batang" w:hAnsi="Arial Narrow" w:cs="Andalus"/>
          <w:sz w:val="24"/>
          <w:szCs w:val="24"/>
        </w:rPr>
        <w:t xml:space="preserve"> photocopies of ID, academic/professional certificates, transcripts, Birth Certificate, other testimonials and a proposal in the area of study  for PhD should be sent to: </w:t>
      </w:r>
    </w:p>
    <w:p w:rsidR="00E74BE4" w:rsidRPr="00A34B3D" w:rsidRDefault="00E74BE4" w:rsidP="00E74BE4">
      <w:pPr>
        <w:pStyle w:val="NoSpacing"/>
        <w:ind w:left="720"/>
        <w:jc w:val="both"/>
        <w:rPr>
          <w:rFonts w:ascii="Arial Narrow" w:eastAsia="Batang" w:hAnsi="Arial Narrow" w:cs="Andalus"/>
          <w:b/>
          <w:sz w:val="24"/>
          <w:szCs w:val="24"/>
        </w:rPr>
      </w:pPr>
      <w:r w:rsidRPr="00A34B3D">
        <w:rPr>
          <w:rFonts w:ascii="Arial Narrow" w:eastAsia="Batang" w:hAnsi="Arial Narrow" w:cs="Andalus"/>
          <w:b/>
          <w:sz w:val="24"/>
          <w:szCs w:val="24"/>
        </w:rPr>
        <w:t xml:space="preserve">Director – </w:t>
      </w:r>
      <w:r>
        <w:rPr>
          <w:rFonts w:ascii="Arial Narrow" w:eastAsia="Batang" w:hAnsi="Arial Narrow" w:cs="Andalus"/>
          <w:b/>
          <w:sz w:val="24"/>
          <w:szCs w:val="24"/>
        </w:rPr>
        <w:t xml:space="preserve">University </w:t>
      </w:r>
      <w:r w:rsidRPr="00A34B3D">
        <w:rPr>
          <w:rFonts w:ascii="Arial Narrow" w:eastAsia="Batang" w:hAnsi="Arial Narrow" w:cs="Andalus"/>
          <w:b/>
          <w:sz w:val="24"/>
          <w:szCs w:val="24"/>
        </w:rPr>
        <w:t>Education</w:t>
      </w:r>
      <w:r>
        <w:rPr>
          <w:rFonts w:ascii="Arial Narrow" w:eastAsia="Batang" w:hAnsi="Arial Narrow" w:cs="Andalus"/>
          <w:b/>
          <w:sz w:val="24"/>
          <w:szCs w:val="24"/>
        </w:rPr>
        <w:t>,</w:t>
      </w:r>
    </w:p>
    <w:p w:rsidR="00E74BE4" w:rsidRPr="00A34B3D" w:rsidRDefault="00E74BE4" w:rsidP="00E74BE4">
      <w:pPr>
        <w:pStyle w:val="NoSpacing"/>
        <w:ind w:left="720"/>
        <w:jc w:val="both"/>
        <w:rPr>
          <w:rFonts w:ascii="Arial Narrow" w:eastAsia="Batang" w:hAnsi="Arial Narrow" w:cs="Andalus"/>
          <w:b/>
          <w:sz w:val="24"/>
          <w:szCs w:val="24"/>
        </w:rPr>
      </w:pPr>
      <w:r w:rsidRPr="00A34B3D">
        <w:rPr>
          <w:rFonts w:ascii="Arial Narrow" w:eastAsia="Batang" w:hAnsi="Arial Narrow" w:cs="Andalus"/>
          <w:b/>
          <w:sz w:val="24"/>
          <w:szCs w:val="24"/>
        </w:rPr>
        <w:t xml:space="preserve">Ministry of Education, </w:t>
      </w:r>
    </w:p>
    <w:p w:rsidR="00E74BE4" w:rsidRPr="00A34B3D" w:rsidRDefault="00E74BE4" w:rsidP="00E74BE4">
      <w:pPr>
        <w:pStyle w:val="NoSpacing"/>
        <w:ind w:left="720"/>
        <w:jc w:val="both"/>
        <w:rPr>
          <w:rFonts w:ascii="Arial Narrow" w:eastAsia="Batang" w:hAnsi="Arial Narrow" w:cs="Andalus"/>
          <w:b/>
          <w:sz w:val="24"/>
          <w:szCs w:val="24"/>
        </w:rPr>
      </w:pPr>
      <w:r w:rsidRPr="00A34B3D">
        <w:rPr>
          <w:rFonts w:ascii="Arial Narrow" w:eastAsia="Batang" w:hAnsi="Arial Narrow" w:cs="Andalus"/>
          <w:b/>
          <w:sz w:val="24"/>
          <w:szCs w:val="24"/>
        </w:rPr>
        <w:t xml:space="preserve">P O Box 9583 – 00200, </w:t>
      </w:r>
    </w:p>
    <w:p w:rsidR="00E74BE4" w:rsidRPr="00A34B3D" w:rsidRDefault="00E74BE4" w:rsidP="00E74BE4">
      <w:pPr>
        <w:pStyle w:val="NoSpacing"/>
        <w:ind w:left="720"/>
        <w:jc w:val="both"/>
        <w:rPr>
          <w:rFonts w:ascii="Arial Narrow" w:eastAsia="Batang" w:hAnsi="Arial Narrow" w:cs="Andalus"/>
          <w:b/>
          <w:sz w:val="24"/>
          <w:szCs w:val="24"/>
        </w:rPr>
      </w:pPr>
      <w:r w:rsidRPr="00A34B3D">
        <w:rPr>
          <w:rFonts w:ascii="Arial Narrow" w:eastAsia="Batang" w:hAnsi="Arial Narrow" w:cs="Andalus"/>
          <w:b/>
          <w:sz w:val="24"/>
          <w:szCs w:val="24"/>
        </w:rPr>
        <w:t>NAIROBI</w:t>
      </w:r>
    </w:p>
    <w:p w:rsidR="00E74BE4" w:rsidRPr="00A34B3D" w:rsidRDefault="00E74BE4" w:rsidP="00E74BE4">
      <w:pPr>
        <w:pStyle w:val="NoSpacing"/>
        <w:ind w:left="720"/>
        <w:jc w:val="both"/>
        <w:rPr>
          <w:rFonts w:ascii="Arial Narrow" w:eastAsia="Batang" w:hAnsi="Arial Narrow" w:cs="Andalus"/>
          <w:b/>
          <w:sz w:val="24"/>
          <w:szCs w:val="24"/>
        </w:rPr>
      </w:pPr>
      <w:r w:rsidRPr="00A34B3D">
        <w:rPr>
          <w:rFonts w:ascii="Arial Narrow" w:eastAsia="Batang" w:hAnsi="Arial Narrow" w:cs="Andalus"/>
          <w:b/>
          <w:sz w:val="24"/>
          <w:szCs w:val="24"/>
        </w:rPr>
        <w:t>OR delivered to Telposta Towers, 27</w:t>
      </w:r>
      <w:r w:rsidRPr="00A34B3D">
        <w:rPr>
          <w:rFonts w:ascii="Arial Narrow" w:eastAsia="Batang" w:hAnsi="Arial Narrow" w:cs="Andalus"/>
          <w:b/>
          <w:sz w:val="24"/>
          <w:szCs w:val="24"/>
          <w:vertAlign w:val="superscript"/>
        </w:rPr>
        <w:t>th</w:t>
      </w:r>
      <w:r w:rsidRPr="00A34B3D">
        <w:rPr>
          <w:rFonts w:ascii="Arial Narrow" w:eastAsia="Batang" w:hAnsi="Arial Narrow" w:cs="Andalus"/>
          <w:b/>
          <w:sz w:val="24"/>
          <w:szCs w:val="24"/>
        </w:rPr>
        <w:t xml:space="preserve"> floor Room 2702</w:t>
      </w:r>
    </w:p>
    <w:p w:rsidR="00E74BE4" w:rsidRPr="00A34B3D" w:rsidRDefault="00E74BE4" w:rsidP="00E74BE4">
      <w:pPr>
        <w:pStyle w:val="ListParagraph"/>
        <w:numPr>
          <w:ilvl w:val="0"/>
          <w:numId w:val="1"/>
        </w:numPr>
        <w:spacing w:after="0" w:line="240" w:lineRule="auto"/>
        <w:jc w:val="both"/>
        <w:rPr>
          <w:rFonts w:ascii="Arial Narrow" w:eastAsia="Batang" w:hAnsi="Arial Narrow" w:cs="Andalus"/>
          <w:sz w:val="24"/>
          <w:szCs w:val="24"/>
        </w:rPr>
      </w:pPr>
      <w:r w:rsidRPr="00A34B3D">
        <w:rPr>
          <w:rFonts w:ascii="Arial Narrow" w:eastAsia="Batang" w:hAnsi="Arial Narrow" w:cs="Andalus"/>
          <w:sz w:val="24"/>
          <w:szCs w:val="24"/>
        </w:rPr>
        <w:t xml:space="preserve">The Preliminary application forms should reach the Ministry not later than </w:t>
      </w:r>
      <w:r w:rsidRPr="00492141">
        <w:rPr>
          <w:rFonts w:ascii="Arial Narrow" w:eastAsia="Batang" w:hAnsi="Arial Narrow" w:cs="Andalus"/>
          <w:b/>
          <w:sz w:val="24"/>
          <w:szCs w:val="24"/>
        </w:rPr>
        <w:t>17</w:t>
      </w:r>
      <w:r w:rsidRPr="00492141">
        <w:rPr>
          <w:rFonts w:ascii="Arial Narrow" w:eastAsia="Batang" w:hAnsi="Arial Narrow" w:cs="Andalus"/>
          <w:b/>
          <w:sz w:val="24"/>
          <w:szCs w:val="24"/>
          <w:vertAlign w:val="superscript"/>
        </w:rPr>
        <w:t>th</w:t>
      </w:r>
      <w:r w:rsidRPr="00492141">
        <w:rPr>
          <w:rFonts w:ascii="Arial Narrow" w:eastAsia="Batang" w:hAnsi="Arial Narrow" w:cs="Andalus"/>
          <w:b/>
          <w:sz w:val="24"/>
          <w:szCs w:val="24"/>
        </w:rPr>
        <w:t xml:space="preserve"> March, 2017.</w:t>
      </w:r>
    </w:p>
    <w:p w:rsidR="00E74BE4" w:rsidRPr="00A34B3D" w:rsidRDefault="00E74BE4" w:rsidP="00E74BE4">
      <w:pPr>
        <w:pStyle w:val="ListParagraph"/>
        <w:spacing w:after="0" w:line="240" w:lineRule="auto"/>
        <w:jc w:val="both"/>
        <w:rPr>
          <w:rFonts w:ascii="Arial Narrow" w:eastAsia="Batang" w:hAnsi="Arial Narrow" w:cs="Andalus"/>
          <w:sz w:val="24"/>
          <w:szCs w:val="24"/>
        </w:rPr>
      </w:pPr>
    </w:p>
    <w:p w:rsidR="00E74BE4" w:rsidRPr="00A34B3D" w:rsidRDefault="00E74BE4" w:rsidP="00E74BE4">
      <w:pPr>
        <w:pStyle w:val="ListParagraph"/>
        <w:numPr>
          <w:ilvl w:val="0"/>
          <w:numId w:val="1"/>
        </w:numPr>
        <w:spacing w:after="0" w:line="240" w:lineRule="auto"/>
        <w:jc w:val="both"/>
        <w:rPr>
          <w:rFonts w:ascii="Arial Narrow" w:eastAsia="Batang" w:hAnsi="Arial Narrow" w:cs="Andalus"/>
          <w:sz w:val="24"/>
          <w:szCs w:val="24"/>
        </w:rPr>
      </w:pPr>
      <w:r w:rsidRPr="00A34B3D">
        <w:rPr>
          <w:rFonts w:ascii="Arial Narrow" w:eastAsia="Batang" w:hAnsi="Arial Narrow" w:cs="Andalus"/>
          <w:sz w:val="24"/>
          <w:szCs w:val="24"/>
        </w:rPr>
        <w:t xml:space="preserve">Only shortlisted applicants (who shall be informed through e-mail /phone call) shall be invited for interview.   </w:t>
      </w:r>
    </w:p>
    <w:p w:rsidR="00E74BE4" w:rsidRPr="00A34B3D" w:rsidRDefault="00E74BE4" w:rsidP="00E74BE4">
      <w:pPr>
        <w:pStyle w:val="ListParagraph"/>
        <w:spacing w:after="0" w:line="240" w:lineRule="auto"/>
        <w:jc w:val="both"/>
        <w:rPr>
          <w:rFonts w:ascii="Arial Narrow" w:eastAsia="Batang" w:hAnsi="Arial Narrow" w:cs="Andalus"/>
          <w:b/>
          <w:sz w:val="24"/>
          <w:szCs w:val="24"/>
          <w:u w:val="single"/>
        </w:rPr>
      </w:pPr>
      <w:r w:rsidRPr="00A34B3D">
        <w:rPr>
          <w:rFonts w:ascii="Arial Narrow" w:eastAsia="Batang" w:hAnsi="Arial Narrow" w:cs="Andalus"/>
          <w:b/>
          <w:sz w:val="24"/>
          <w:szCs w:val="24"/>
          <w:u w:val="single"/>
        </w:rPr>
        <w:t>NB</w:t>
      </w:r>
    </w:p>
    <w:p w:rsidR="00E74BE4" w:rsidRPr="00A34B3D" w:rsidRDefault="00E74BE4" w:rsidP="00E74BE4">
      <w:pPr>
        <w:pStyle w:val="ListParagraph"/>
        <w:spacing w:after="0" w:line="240" w:lineRule="auto"/>
        <w:jc w:val="both"/>
        <w:rPr>
          <w:rFonts w:ascii="Arial Narrow" w:hAnsi="Arial Narrow" w:cs="Andalus"/>
          <w:sz w:val="24"/>
          <w:szCs w:val="24"/>
        </w:rPr>
      </w:pPr>
      <w:r w:rsidRPr="00A34B3D">
        <w:rPr>
          <w:rFonts w:ascii="Arial Narrow" w:eastAsia="Batang" w:hAnsi="Arial Narrow" w:cs="Andalus"/>
          <w:b/>
          <w:sz w:val="24"/>
          <w:szCs w:val="24"/>
        </w:rPr>
        <w:t>FOR POSTGRADUATE SCHOLARSHIPS PREFERENCE FOR THE AWARD OF THESE SCHOLARSHIPS WILL BE GIVEN TO TEACHING STAFF IN OUR PUBLIC UNIVERSITIES AND UNIVERSITY CONSTITUENT COLLEGES. TEACHING STAFF IN THESE INSTITUTIONS ARE HIGHLY ENCOURAGED TO APPLY</w:t>
      </w:r>
    </w:p>
    <w:p w:rsidR="00F14EFB" w:rsidRDefault="00E74BE4" w:rsidP="00E74BE4">
      <w:r>
        <w:br w:type="page"/>
      </w:r>
    </w:p>
    <w:sectPr w:rsidR="00F14EFB" w:rsidSect="00CE110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F5ED1"/>
    <w:multiLevelType w:val="hybridMultilevel"/>
    <w:tmpl w:val="87DECD9E"/>
    <w:lvl w:ilvl="0" w:tplc="0409000F">
      <w:start w:val="1"/>
      <w:numFmt w:val="decimal"/>
      <w:lvlText w:val="%1."/>
      <w:lvlJc w:val="left"/>
      <w:pPr>
        <w:ind w:left="810" w:hanging="360"/>
      </w:pPr>
      <w:rPr>
        <w:rFont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44FF1C6A"/>
    <w:multiLevelType w:val="hybridMultilevel"/>
    <w:tmpl w:val="AB9CFB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B17F08"/>
    <w:multiLevelType w:val="hybridMultilevel"/>
    <w:tmpl w:val="32ECF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AB0276"/>
    <w:multiLevelType w:val="hybridMultilevel"/>
    <w:tmpl w:val="0E7E7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E74BE4"/>
    <w:rsid w:val="00187D0C"/>
    <w:rsid w:val="001C4B92"/>
    <w:rsid w:val="001E2119"/>
    <w:rsid w:val="00233A31"/>
    <w:rsid w:val="003B5D05"/>
    <w:rsid w:val="00460B28"/>
    <w:rsid w:val="00480FB3"/>
    <w:rsid w:val="00655FE3"/>
    <w:rsid w:val="00670A7F"/>
    <w:rsid w:val="006D418F"/>
    <w:rsid w:val="00847A60"/>
    <w:rsid w:val="0094669C"/>
    <w:rsid w:val="00CE110B"/>
    <w:rsid w:val="00E74BE4"/>
    <w:rsid w:val="00EC7335"/>
    <w:rsid w:val="00F06ECB"/>
    <w:rsid w:val="00FE4C1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BE4"/>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4BE4"/>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E74BE4"/>
    <w:pPr>
      <w:ind w:left="720"/>
      <w:contextualSpacing/>
    </w:pPr>
  </w:style>
  <w:style w:type="character" w:styleId="Hyperlink">
    <w:name w:val="Hyperlink"/>
    <w:uiPriority w:val="99"/>
    <w:unhideWhenUsed/>
    <w:rsid w:val="00E74BE4"/>
    <w:rPr>
      <w:color w:val="0000FF"/>
      <w:u w:val="single"/>
    </w:rPr>
  </w:style>
  <w:style w:type="paragraph" w:styleId="BalloonText">
    <w:name w:val="Balloon Text"/>
    <w:basedOn w:val="Normal"/>
    <w:link w:val="BalloonTextChar"/>
    <w:uiPriority w:val="99"/>
    <w:semiHidden/>
    <w:unhideWhenUsed/>
    <w:rsid w:val="00E74B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BE4"/>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go.ke" TargetMode="External"/><Relationship Id="rId3" Type="http://schemas.openxmlformats.org/officeDocument/2006/relationships/settings" Target="settings.xml"/><Relationship Id="rId7" Type="http://schemas.openxmlformats.org/officeDocument/2006/relationships/hyperlink" Target="http://russia.study/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ssia.study/en"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551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 1</dc:creator>
  <cp:lastModifiedBy>user</cp:lastModifiedBy>
  <cp:revision>3</cp:revision>
  <dcterms:created xsi:type="dcterms:W3CDTF">2017-03-03T07:50:00Z</dcterms:created>
  <dcterms:modified xsi:type="dcterms:W3CDTF">2017-03-06T09:20:00Z</dcterms:modified>
</cp:coreProperties>
</file>